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件2</w:t>
      </w:r>
    </w:p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四川牙谷建设管理有限公司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四川牙谷建设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u w:val="none"/>
                <w:lang w:val="en-US" w:eastAsia="zh-CN"/>
              </w:rPr>
              <w:t>管理有限公司副总经理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28" w:firstLine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Chars="-23" w:hanging="48" w:hanging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309" w:firstLineChars="129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</w:t>
      </w:r>
      <w:r>
        <w:rPr>
          <w:rFonts w:hint="eastAsia" w:ascii="仿宋_GB2312" w:hAnsi="Arial" w:eastAsia="仿宋_GB2312" w:cs="Arial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92F96"/>
    <w:rsid w:val="06BB6733"/>
    <w:rsid w:val="37892F96"/>
    <w:rsid w:val="538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oc 1"/>
    <w:next w:val="4"/>
    <w:uiPriority w:val="0"/>
    <w:rPr>
      <w:rFonts w:ascii="Calibri" w:hAnsi="Calibri" w:eastAsia="方正小标宋简体" w:cstheme="minorBidi"/>
      <w:sz w:val="4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2024-06-05T01:29:00Z</dcterms:created>
  <dc:creator>王心宁</dc:creator>
  <cp:lastModifiedBy>王心宁</cp:lastModifiedBy>
  <dcterms:modified xsi:type="dcterms:W3CDTF">2024-06-05T01:37:04Z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5D1F949FD59D48AEAC0EEC79C28E6F35</vt:lpwstr>
  </property>
</Properties>
</file>